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AC" w:rsidRDefault="00901C9D">
      <w:pPr>
        <w:rPr>
          <w:rFonts w:cstheme="minorHAnsi"/>
          <w:sz w:val="24"/>
          <w:szCs w:val="24"/>
        </w:rPr>
      </w:pPr>
      <w:r>
        <w:rPr>
          <w:rFonts w:cstheme="minorHAnsi"/>
          <w:sz w:val="24"/>
          <w:szCs w:val="24"/>
        </w:rPr>
        <w:t>Présentation de CEDH</w:t>
      </w:r>
    </w:p>
    <w:p w:rsidR="000B77AC" w:rsidRDefault="00901C9D">
      <w:pPr>
        <w:pStyle w:val="Sansinterligne"/>
        <w:jc w:val="both"/>
        <w:rPr>
          <w:rFonts w:cstheme="minorHAnsi"/>
          <w:sz w:val="24"/>
          <w:szCs w:val="24"/>
        </w:rPr>
      </w:pPr>
      <w:r>
        <w:rPr>
          <w:rFonts w:cstheme="minorHAnsi"/>
          <w:sz w:val="24"/>
          <w:szCs w:val="24"/>
        </w:rPr>
        <w:t>Le</w:t>
      </w:r>
      <w:r>
        <w:rPr>
          <w:rFonts w:cstheme="minorHAnsi"/>
          <w:b/>
          <w:sz w:val="24"/>
          <w:szCs w:val="24"/>
        </w:rPr>
        <w:t xml:space="preserve"> Centre d’Espoir pour les droits humains, (CEDH)</w:t>
      </w:r>
      <w:r>
        <w:rPr>
          <w:rFonts w:cstheme="minorHAnsi"/>
          <w:sz w:val="24"/>
          <w:szCs w:val="24"/>
        </w:rPr>
        <w:t xml:space="preserve"> est une organisation sans but lucratif du droit congolais œuvrant pour la promotion et la protection des droits des peuples autochtones en République Démocratique du Congo. Il s’intéresse particulièrement </w:t>
      </w:r>
      <w:r w:rsidR="00D024C0">
        <w:rPr>
          <w:rFonts w:cstheme="minorHAnsi"/>
          <w:sz w:val="24"/>
          <w:szCs w:val="24"/>
        </w:rPr>
        <w:t>aux droits consacrés des</w:t>
      </w:r>
      <w:r>
        <w:rPr>
          <w:rFonts w:cstheme="minorHAnsi"/>
          <w:sz w:val="24"/>
          <w:szCs w:val="24"/>
        </w:rPr>
        <w:t xml:space="preserve"> groupes vulnérabl</w:t>
      </w:r>
      <w:r>
        <w:rPr>
          <w:rFonts w:cstheme="minorHAnsi"/>
          <w:sz w:val="24"/>
          <w:szCs w:val="24"/>
        </w:rPr>
        <w:t>e</w:t>
      </w:r>
      <w:r w:rsidR="00D024C0">
        <w:rPr>
          <w:rFonts w:cstheme="minorHAnsi"/>
          <w:sz w:val="24"/>
          <w:szCs w:val="24"/>
        </w:rPr>
        <w:t>s</w:t>
      </w:r>
      <w:r>
        <w:rPr>
          <w:rFonts w:cstheme="minorHAnsi"/>
          <w:sz w:val="24"/>
          <w:szCs w:val="24"/>
        </w:rPr>
        <w:t xml:space="preserve"> parmi lesquels les femmes et les enfants autochtones </w:t>
      </w:r>
      <w:proofErr w:type="spellStart"/>
      <w:r>
        <w:rPr>
          <w:rFonts w:cstheme="minorHAnsi"/>
          <w:sz w:val="24"/>
          <w:szCs w:val="24"/>
        </w:rPr>
        <w:t>Ba</w:t>
      </w:r>
      <w:r w:rsidR="00D024C0">
        <w:rPr>
          <w:rFonts w:cstheme="minorHAnsi"/>
          <w:sz w:val="24"/>
          <w:szCs w:val="24"/>
        </w:rPr>
        <w:t>twa</w:t>
      </w:r>
      <w:proofErr w:type="spellEnd"/>
      <w:r w:rsidR="00D024C0">
        <w:rPr>
          <w:rFonts w:cstheme="minorHAnsi"/>
          <w:sz w:val="24"/>
          <w:szCs w:val="24"/>
        </w:rPr>
        <w:t xml:space="preserve"> ainsi que les défenseurs de leurs droits</w:t>
      </w:r>
      <w:r>
        <w:rPr>
          <w:rFonts w:cstheme="minorHAnsi"/>
          <w:sz w:val="24"/>
          <w:szCs w:val="24"/>
        </w:rPr>
        <w:t xml:space="preserve">. </w:t>
      </w:r>
      <w:r w:rsidR="00D024C0">
        <w:rPr>
          <w:rFonts w:cstheme="minorHAnsi"/>
          <w:sz w:val="24"/>
          <w:szCs w:val="24"/>
        </w:rPr>
        <w:t xml:space="preserve">CEDH était </w:t>
      </w:r>
      <w:r>
        <w:rPr>
          <w:rFonts w:cstheme="minorHAnsi"/>
          <w:sz w:val="24"/>
          <w:szCs w:val="24"/>
        </w:rPr>
        <w:t xml:space="preserve">fondée en 2008 en réponse aux cris des populations riveraines du parc national de </w:t>
      </w:r>
      <w:proofErr w:type="spellStart"/>
      <w:r>
        <w:rPr>
          <w:rFonts w:cstheme="minorHAnsi"/>
          <w:sz w:val="24"/>
          <w:szCs w:val="24"/>
        </w:rPr>
        <w:t>Kahuzi-Biega</w:t>
      </w:r>
      <w:proofErr w:type="spellEnd"/>
      <w:r>
        <w:rPr>
          <w:rFonts w:cstheme="minorHAnsi"/>
          <w:sz w:val="24"/>
          <w:szCs w:val="24"/>
        </w:rPr>
        <w:t xml:space="preserve"> spécifiquement pou</w:t>
      </w:r>
      <w:r>
        <w:rPr>
          <w:rFonts w:cstheme="minorHAnsi"/>
          <w:sz w:val="24"/>
          <w:szCs w:val="24"/>
        </w:rPr>
        <w:t xml:space="preserve">r soutenir les  peuples Autochtones </w:t>
      </w:r>
      <w:proofErr w:type="spellStart"/>
      <w:r>
        <w:rPr>
          <w:rFonts w:cstheme="minorHAnsi"/>
          <w:sz w:val="24"/>
          <w:szCs w:val="24"/>
        </w:rPr>
        <w:t>Batwa</w:t>
      </w:r>
      <w:proofErr w:type="spellEnd"/>
      <w:r>
        <w:rPr>
          <w:rFonts w:cstheme="minorHAnsi"/>
          <w:sz w:val="24"/>
          <w:szCs w:val="24"/>
        </w:rPr>
        <w:t xml:space="preserve"> et défendre leurs droits à la terre, au climat, à l’environnement et aux ressources naturelles. </w:t>
      </w:r>
    </w:p>
    <w:p w:rsidR="000B77AC" w:rsidRDefault="000B77AC">
      <w:pPr>
        <w:pStyle w:val="Sansinterligne"/>
        <w:jc w:val="both"/>
        <w:rPr>
          <w:rFonts w:cstheme="minorHAnsi"/>
          <w:sz w:val="24"/>
          <w:szCs w:val="24"/>
        </w:rPr>
      </w:pPr>
    </w:p>
    <w:p w:rsidR="000B77AC" w:rsidRDefault="00901C9D">
      <w:pPr>
        <w:pStyle w:val="Sansinterligne"/>
        <w:jc w:val="both"/>
        <w:rPr>
          <w:rFonts w:cstheme="minorHAnsi"/>
          <w:sz w:val="24"/>
          <w:szCs w:val="24"/>
        </w:rPr>
      </w:pPr>
      <w:r>
        <w:rPr>
          <w:rFonts w:cstheme="minorHAnsi"/>
          <w:sz w:val="24"/>
          <w:szCs w:val="24"/>
        </w:rPr>
        <w:t>L’association vise le</w:t>
      </w:r>
      <w:r>
        <w:t xml:space="preserve"> renforcement de son aide juridique offertes gratuitement aux peuples autochtones et autres riv</w:t>
      </w:r>
      <w:r>
        <w:t>erain des aires protégés de façon à garantir et protéger leurs droits et leurs moyens de subsistance tel que défini par les instruments juridiques nationaux et internationaux des droits de l’homme.</w:t>
      </w:r>
    </w:p>
    <w:p w:rsidR="000B77AC" w:rsidRDefault="00901C9D">
      <w:pPr>
        <w:pStyle w:val="Sansinterligne"/>
        <w:jc w:val="both"/>
        <w:rPr>
          <w:rFonts w:cstheme="minorHAnsi"/>
          <w:sz w:val="24"/>
          <w:szCs w:val="24"/>
        </w:rPr>
      </w:pPr>
      <w:r>
        <w:rPr>
          <w:rFonts w:cstheme="minorHAnsi"/>
          <w:sz w:val="24"/>
          <w:szCs w:val="24"/>
        </w:rPr>
        <w:t>Pour y parvenir, le CEDH procède par le monitoring des vio</w:t>
      </w:r>
      <w:r>
        <w:rPr>
          <w:rFonts w:cstheme="minorHAnsi"/>
          <w:sz w:val="24"/>
          <w:szCs w:val="24"/>
        </w:rPr>
        <w:t xml:space="preserve">lations et atteintes aux droits humains aux fins d’interpeller les pouvoirs publics au respect de ses engagements. </w:t>
      </w:r>
    </w:p>
    <w:p w:rsidR="000B77AC" w:rsidRDefault="00901C9D">
      <w:pPr>
        <w:pStyle w:val="Sansinterligne"/>
        <w:jc w:val="both"/>
        <w:rPr>
          <w:rFonts w:cstheme="minorHAnsi"/>
          <w:sz w:val="24"/>
          <w:szCs w:val="24"/>
        </w:rPr>
      </w:pPr>
      <w:r>
        <w:rPr>
          <w:rFonts w:cstheme="minorHAnsi"/>
          <w:sz w:val="24"/>
          <w:szCs w:val="24"/>
        </w:rPr>
        <w:t xml:space="preserve">Le CEDH mène le plaidoyer auprès des institutions étatiques locales et nationales et autres décideurs internationaux sur l’échelle mondiale </w:t>
      </w:r>
      <w:r>
        <w:rPr>
          <w:rFonts w:cstheme="minorHAnsi"/>
          <w:sz w:val="24"/>
          <w:szCs w:val="24"/>
        </w:rPr>
        <w:t xml:space="preserve">afin que les droits de MPA soient respectés.  </w:t>
      </w:r>
    </w:p>
    <w:p w:rsidR="000B77AC" w:rsidRDefault="00901C9D">
      <w:pPr>
        <w:spacing w:before="100" w:beforeAutospacing="1" w:after="100" w:afterAutospacing="1" w:line="240" w:lineRule="auto"/>
        <w:jc w:val="both"/>
        <w:rPr>
          <w:rFonts w:ascii="Calibri" w:eastAsia="Times New Roman" w:hAnsi="Calibri" w:cs="Calibri"/>
          <w:sz w:val="24"/>
          <w:szCs w:val="24"/>
        </w:rPr>
      </w:pPr>
      <w:r w:rsidRPr="00D024C0">
        <w:rPr>
          <w:rFonts w:ascii="Calibri" w:eastAsia="Times New Roman" w:hAnsi="Calibri" w:cs="Calibri"/>
          <w:sz w:val="24"/>
          <w:szCs w:val="24"/>
          <w:lang w:eastAsia="fr-FR"/>
        </w:rPr>
        <w:t xml:space="preserve">L’association </w:t>
      </w:r>
      <w:r>
        <w:rPr>
          <w:rFonts w:ascii="Calibri" w:eastAsia="Times New Roman" w:hAnsi="Calibri" w:cs="Calibri"/>
          <w:sz w:val="24"/>
          <w:szCs w:val="24"/>
        </w:rPr>
        <w:t>apporte ses compétences juridiques dans les domaines de la documentation des situations d'atrocités sur les populations autochtones, de l'enquête, de la constitution de preuves, de la stratégie j</w:t>
      </w:r>
      <w:r>
        <w:rPr>
          <w:rFonts w:ascii="Calibri" w:eastAsia="Times New Roman" w:hAnsi="Calibri" w:cs="Calibri"/>
          <w:sz w:val="24"/>
          <w:szCs w:val="24"/>
        </w:rPr>
        <w:t>uridique, ainsi que de la préparation, de la présentation et du traitement des dossiers devant les juridictions pénales en matière de crimes internationaux et de violations flagrantes des droits de l'homme. C’est pour cette raison que le CEDH a déposé 4 pl</w:t>
      </w:r>
      <w:r>
        <w:rPr>
          <w:rFonts w:ascii="Calibri" w:eastAsia="Times New Roman" w:hAnsi="Calibri" w:cs="Calibri"/>
          <w:sz w:val="24"/>
          <w:szCs w:val="24"/>
        </w:rPr>
        <w:t xml:space="preserve">aintes auprès les juridictions militaires et civiles au Sud-Kivu pour soutenir les causes des </w:t>
      </w:r>
      <w:proofErr w:type="spellStart"/>
      <w:r>
        <w:rPr>
          <w:rFonts w:ascii="Calibri" w:eastAsia="Times New Roman" w:hAnsi="Calibri" w:cs="Calibri"/>
          <w:sz w:val="24"/>
          <w:szCs w:val="24"/>
        </w:rPr>
        <w:t>Batwa</w:t>
      </w:r>
      <w:proofErr w:type="spellEnd"/>
      <w:r>
        <w:rPr>
          <w:rFonts w:ascii="Calibri" w:eastAsia="Times New Roman" w:hAnsi="Calibri" w:cs="Calibri"/>
          <w:sz w:val="24"/>
          <w:szCs w:val="24"/>
        </w:rPr>
        <w:t xml:space="preserve"> victimes de leurs droits.</w:t>
      </w:r>
    </w:p>
    <w:p w:rsidR="000B77AC" w:rsidRDefault="00901C9D">
      <w:pPr>
        <w:spacing w:before="100" w:beforeAutospacing="1" w:after="100" w:afterAutospacing="1" w:line="240" w:lineRule="auto"/>
        <w:jc w:val="both"/>
        <w:rPr>
          <w:rFonts w:eastAsia="Times New Roman" w:cstheme="minorHAnsi"/>
          <w:sz w:val="24"/>
          <w:szCs w:val="24"/>
          <w:lang w:eastAsia="fr-FR"/>
        </w:rPr>
      </w:pPr>
      <w:r>
        <w:rPr>
          <w:rFonts w:eastAsia="Times New Roman" w:cstheme="minorHAnsi"/>
          <w:sz w:val="24"/>
          <w:szCs w:val="24"/>
          <w:lang w:eastAsia="fr-FR"/>
        </w:rPr>
        <w:t xml:space="preserve"> </w:t>
      </w:r>
      <w:r>
        <w:rPr>
          <w:rFonts w:eastAsia="Times New Roman" w:cstheme="minorHAnsi"/>
          <w:bCs/>
          <w:sz w:val="24"/>
          <w:szCs w:val="24"/>
          <w:lang w:eastAsia="fr-FR"/>
        </w:rPr>
        <w:t>A travers le plaidoyer, le CEDH désire</w:t>
      </w:r>
      <w:r>
        <w:rPr>
          <w:rFonts w:eastAsia="Times New Roman" w:cstheme="minorHAnsi"/>
          <w:sz w:val="24"/>
          <w:szCs w:val="24"/>
          <w:lang w:eastAsia="fr-FR"/>
        </w:rPr>
        <w:t xml:space="preserve">  renforcer les capacités, soutien les minorités autochtones et autres vulnérables afin qu’</w:t>
      </w:r>
      <w:r>
        <w:rPr>
          <w:rFonts w:eastAsia="Times New Roman" w:cstheme="minorHAnsi"/>
          <w:sz w:val="24"/>
          <w:szCs w:val="24"/>
          <w:lang w:eastAsia="fr-FR"/>
        </w:rPr>
        <w:t>ils puissent revendiquer au quotidien leurs droits.</w:t>
      </w:r>
      <w:r w:rsidRPr="00D024C0">
        <w:rPr>
          <w:rFonts w:eastAsia="Times New Roman" w:cstheme="minorHAnsi"/>
          <w:sz w:val="24"/>
          <w:szCs w:val="24"/>
          <w:lang w:eastAsia="fr-FR"/>
        </w:rPr>
        <w:t xml:space="preserve"> C’est pour quoi, l’organisation organise différents</w:t>
      </w:r>
      <w:r>
        <w:rPr>
          <w:rFonts w:eastAsia="Times New Roman" w:cstheme="minorHAnsi"/>
          <w:sz w:val="24"/>
          <w:szCs w:val="24"/>
          <w:lang w:eastAsia="fr-FR"/>
        </w:rPr>
        <w:t xml:space="preserve"> </w:t>
      </w:r>
      <w:r w:rsidRPr="00D024C0">
        <w:rPr>
          <w:rFonts w:eastAsia="Times New Roman" w:cstheme="minorHAnsi"/>
          <w:sz w:val="24"/>
          <w:szCs w:val="24"/>
          <w:lang w:eastAsia="fr-FR"/>
        </w:rPr>
        <w:t>ateliers de</w:t>
      </w:r>
      <w:r>
        <w:rPr>
          <w:rFonts w:eastAsia="Times New Roman" w:cstheme="minorHAnsi"/>
          <w:sz w:val="24"/>
          <w:szCs w:val="24"/>
          <w:lang w:eastAsia="fr-FR"/>
        </w:rPr>
        <w:t xml:space="preserve"> formation</w:t>
      </w:r>
      <w:r w:rsidRPr="00D024C0">
        <w:rPr>
          <w:rFonts w:eastAsia="Times New Roman" w:cstheme="minorHAnsi"/>
          <w:sz w:val="24"/>
          <w:szCs w:val="24"/>
          <w:lang w:eastAsia="fr-FR"/>
        </w:rPr>
        <w:t xml:space="preserve"> </w:t>
      </w:r>
      <w:r>
        <w:rPr>
          <w:rFonts w:eastAsia="Times New Roman" w:cstheme="minorHAnsi"/>
          <w:sz w:val="24"/>
          <w:szCs w:val="24"/>
          <w:lang w:eastAsia="fr-FR"/>
        </w:rPr>
        <w:t xml:space="preserve">destinées à soutenir l'éducation communautaire sur les droits humains en mettant un accent particulier sur les droits à la terre, </w:t>
      </w:r>
      <w:r>
        <w:rPr>
          <w:rFonts w:eastAsia="Times New Roman" w:cstheme="minorHAnsi"/>
          <w:sz w:val="24"/>
          <w:szCs w:val="24"/>
          <w:lang w:eastAsia="fr-FR"/>
        </w:rPr>
        <w:t>à la santé, à l’éducation, aux ressources naturelles, au climat et à l’environnement.</w:t>
      </w:r>
    </w:p>
    <w:p w:rsidR="000B77AC" w:rsidRDefault="00901C9D">
      <w:pPr>
        <w:spacing w:before="100" w:beforeAutospacing="1" w:after="100" w:afterAutospacing="1" w:line="240" w:lineRule="auto"/>
        <w:rPr>
          <w:rFonts w:eastAsia="Times New Roman" w:cstheme="minorHAnsi"/>
          <w:b/>
          <w:bCs/>
          <w:sz w:val="24"/>
          <w:szCs w:val="24"/>
          <w:lang w:eastAsia="fr-FR"/>
        </w:rPr>
      </w:pPr>
      <w:r>
        <w:rPr>
          <w:rFonts w:eastAsia="Times New Roman" w:cstheme="minorHAnsi"/>
          <w:b/>
          <w:bCs/>
          <w:sz w:val="24"/>
          <w:szCs w:val="24"/>
          <w:lang w:eastAsia="fr-FR"/>
        </w:rPr>
        <w:t>Domaine d’interventions</w:t>
      </w:r>
    </w:p>
    <w:p w:rsidR="000B77AC" w:rsidRDefault="00901C9D">
      <w:pPr>
        <w:spacing w:before="100" w:beforeAutospacing="1" w:after="100" w:afterAutospacing="1" w:line="240" w:lineRule="auto"/>
        <w:rPr>
          <w:rFonts w:eastAsia="Times New Roman" w:cstheme="minorHAnsi"/>
          <w:bCs/>
          <w:sz w:val="24"/>
          <w:szCs w:val="24"/>
          <w:lang w:eastAsia="fr-FR"/>
        </w:rPr>
      </w:pPr>
      <w:r>
        <w:rPr>
          <w:rFonts w:eastAsia="Times New Roman" w:cstheme="minorHAnsi"/>
          <w:bCs/>
          <w:sz w:val="24"/>
          <w:szCs w:val="24"/>
          <w:lang w:eastAsia="fr-FR"/>
        </w:rPr>
        <w:t xml:space="preserve">Le CEDH intervient dans les domaines suivants </w:t>
      </w:r>
    </w:p>
    <w:p w:rsidR="000B77AC" w:rsidRDefault="00901C9D">
      <w:pPr>
        <w:pStyle w:val="Paragraphedeliste"/>
        <w:numPr>
          <w:ilvl w:val="0"/>
          <w:numId w:val="1"/>
        </w:numPr>
        <w:spacing w:line="240" w:lineRule="auto"/>
        <w:jc w:val="both"/>
        <w:rPr>
          <w:rFonts w:cstheme="minorHAnsi"/>
          <w:sz w:val="24"/>
          <w:szCs w:val="24"/>
        </w:rPr>
      </w:pPr>
      <w:r>
        <w:rPr>
          <w:rFonts w:cstheme="minorHAnsi"/>
          <w:sz w:val="24"/>
          <w:szCs w:val="24"/>
        </w:rPr>
        <w:t>Les droits humains</w:t>
      </w:r>
      <w:r>
        <w:rPr>
          <w:rFonts w:cstheme="minorHAnsi"/>
          <w:sz w:val="24"/>
          <w:szCs w:val="24"/>
        </w:rPr>
        <w:t xml:space="preserve"> des peuples autochtones (</w:t>
      </w:r>
      <w:r>
        <w:rPr>
          <w:rFonts w:eastAsia="Times New Roman" w:cstheme="minorHAnsi"/>
          <w:sz w:val="24"/>
          <w:szCs w:val="24"/>
          <w:lang w:eastAsia="fr-FR"/>
        </w:rPr>
        <w:t>droits à la terre</w:t>
      </w:r>
      <w:r w:rsidRPr="00D024C0">
        <w:rPr>
          <w:rFonts w:eastAsia="Times New Roman" w:cstheme="minorHAnsi"/>
          <w:sz w:val="24"/>
          <w:szCs w:val="24"/>
          <w:lang w:eastAsia="fr-FR"/>
        </w:rPr>
        <w:t xml:space="preserve">, </w:t>
      </w:r>
      <w:r>
        <w:rPr>
          <w:rFonts w:eastAsia="Times New Roman" w:cstheme="minorHAnsi"/>
          <w:sz w:val="24"/>
          <w:szCs w:val="24"/>
          <w:lang w:eastAsia="fr-FR"/>
        </w:rPr>
        <w:t>à la santé</w:t>
      </w:r>
      <w:r w:rsidRPr="00D024C0">
        <w:rPr>
          <w:rFonts w:eastAsia="Times New Roman" w:cstheme="minorHAnsi"/>
          <w:sz w:val="24"/>
          <w:szCs w:val="24"/>
          <w:lang w:eastAsia="fr-FR"/>
        </w:rPr>
        <w:t xml:space="preserve">, </w:t>
      </w:r>
      <w:r>
        <w:rPr>
          <w:rFonts w:eastAsia="Times New Roman" w:cstheme="minorHAnsi"/>
          <w:sz w:val="24"/>
          <w:szCs w:val="24"/>
          <w:lang w:eastAsia="fr-FR"/>
        </w:rPr>
        <w:t>à l’éducation</w:t>
      </w:r>
      <w:r w:rsidRPr="00D024C0">
        <w:rPr>
          <w:rFonts w:eastAsia="Times New Roman" w:cstheme="minorHAnsi"/>
          <w:sz w:val="24"/>
          <w:szCs w:val="24"/>
          <w:lang w:eastAsia="fr-FR"/>
        </w:rPr>
        <w:t xml:space="preserve">, </w:t>
      </w:r>
      <w:r>
        <w:rPr>
          <w:rFonts w:eastAsia="Times New Roman" w:cstheme="minorHAnsi"/>
          <w:sz w:val="24"/>
          <w:szCs w:val="24"/>
          <w:lang w:eastAsia="fr-FR"/>
        </w:rPr>
        <w:t xml:space="preserve">aux </w:t>
      </w:r>
      <w:r>
        <w:rPr>
          <w:rFonts w:eastAsia="Times New Roman" w:cstheme="minorHAnsi"/>
          <w:sz w:val="24"/>
          <w:szCs w:val="24"/>
          <w:lang w:eastAsia="fr-FR"/>
        </w:rPr>
        <w:t>ressources naturelles</w:t>
      </w:r>
      <w:r w:rsidRPr="00D024C0">
        <w:rPr>
          <w:rFonts w:eastAsia="Times New Roman" w:cstheme="minorHAnsi"/>
          <w:sz w:val="24"/>
          <w:szCs w:val="24"/>
          <w:lang w:eastAsia="fr-FR"/>
        </w:rPr>
        <w:t xml:space="preserve">, </w:t>
      </w:r>
      <w:r>
        <w:rPr>
          <w:rFonts w:eastAsia="Times New Roman" w:cstheme="minorHAnsi"/>
          <w:sz w:val="24"/>
          <w:szCs w:val="24"/>
          <w:lang w:eastAsia="fr-FR"/>
        </w:rPr>
        <w:t>au climat</w:t>
      </w:r>
      <w:r w:rsidRPr="00D024C0">
        <w:rPr>
          <w:rFonts w:eastAsia="Times New Roman" w:cstheme="minorHAnsi"/>
          <w:sz w:val="24"/>
          <w:szCs w:val="24"/>
          <w:lang w:eastAsia="fr-FR"/>
        </w:rPr>
        <w:t xml:space="preserve">, </w:t>
      </w:r>
      <w:r>
        <w:rPr>
          <w:rFonts w:eastAsia="Times New Roman" w:cstheme="minorHAnsi"/>
          <w:sz w:val="24"/>
          <w:szCs w:val="24"/>
          <w:lang w:eastAsia="fr-FR"/>
        </w:rPr>
        <w:t>à l’environnement</w:t>
      </w:r>
      <w:r w:rsidRPr="00D024C0">
        <w:rPr>
          <w:rFonts w:eastAsia="Times New Roman" w:cstheme="minorHAnsi"/>
          <w:sz w:val="24"/>
          <w:szCs w:val="24"/>
          <w:lang w:eastAsia="fr-FR"/>
        </w:rPr>
        <w:t xml:space="preserve"> etc</w:t>
      </w:r>
      <w:proofErr w:type="gramStart"/>
      <w:r w:rsidRPr="00D024C0">
        <w:rPr>
          <w:rFonts w:eastAsia="Times New Roman" w:cstheme="minorHAnsi"/>
          <w:sz w:val="24"/>
          <w:szCs w:val="24"/>
          <w:lang w:eastAsia="fr-FR"/>
        </w:rPr>
        <w:t xml:space="preserve">. </w:t>
      </w:r>
      <w:r>
        <w:rPr>
          <w:rFonts w:cstheme="minorHAnsi"/>
          <w:sz w:val="24"/>
          <w:szCs w:val="24"/>
        </w:rPr>
        <w:t>)</w:t>
      </w:r>
      <w:proofErr w:type="gramEnd"/>
      <w:r>
        <w:rPr>
          <w:rFonts w:cstheme="minorHAnsi"/>
          <w:sz w:val="24"/>
          <w:szCs w:val="24"/>
        </w:rPr>
        <w:t>;</w:t>
      </w:r>
    </w:p>
    <w:p w:rsidR="000B77AC" w:rsidRDefault="00901C9D">
      <w:pPr>
        <w:pStyle w:val="Paragraphedeliste"/>
        <w:numPr>
          <w:ilvl w:val="0"/>
          <w:numId w:val="1"/>
        </w:numPr>
        <w:spacing w:line="240" w:lineRule="auto"/>
        <w:jc w:val="both"/>
        <w:rPr>
          <w:rFonts w:cstheme="minorHAnsi"/>
          <w:sz w:val="24"/>
          <w:szCs w:val="24"/>
        </w:rPr>
      </w:pPr>
      <w:proofErr w:type="gramStart"/>
      <w:r>
        <w:rPr>
          <w:rFonts w:cstheme="minorHAnsi"/>
          <w:sz w:val="24"/>
          <w:szCs w:val="24"/>
        </w:rPr>
        <w:t>L’assistance juridique et judiciaires</w:t>
      </w:r>
      <w:proofErr w:type="gramEnd"/>
      <w:r>
        <w:rPr>
          <w:rFonts w:cstheme="minorHAnsi"/>
          <w:sz w:val="24"/>
          <w:szCs w:val="24"/>
        </w:rPr>
        <w:t xml:space="preserve"> avec ses 4 volets </w:t>
      </w:r>
      <w:r w:rsidR="00D024C0">
        <w:rPr>
          <w:rFonts w:cstheme="minorHAnsi"/>
          <w:sz w:val="24"/>
          <w:szCs w:val="24"/>
        </w:rPr>
        <w:t>(prise</w:t>
      </w:r>
      <w:r>
        <w:rPr>
          <w:rFonts w:cstheme="minorHAnsi"/>
          <w:sz w:val="24"/>
          <w:szCs w:val="24"/>
        </w:rPr>
        <w:t xml:space="preserve"> en charge psychologique, médicale, sociale et médicales) pour les victimes </w:t>
      </w:r>
      <w:r w:rsidR="00D024C0">
        <w:rPr>
          <w:rFonts w:cstheme="minorHAnsi"/>
          <w:sz w:val="24"/>
          <w:szCs w:val="24"/>
        </w:rPr>
        <w:t xml:space="preserve">des atrocités sur les </w:t>
      </w:r>
      <w:proofErr w:type="spellStart"/>
      <w:r w:rsidR="00D024C0">
        <w:rPr>
          <w:rFonts w:cstheme="minorHAnsi"/>
          <w:sz w:val="24"/>
          <w:szCs w:val="24"/>
        </w:rPr>
        <w:t>Batwa</w:t>
      </w:r>
      <w:proofErr w:type="spellEnd"/>
      <w:r>
        <w:rPr>
          <w:rFonts w:cstheme="minorHAnsi"/>
          <w:sz w:val="24"/>
          <w:szCs w:val="24"/>
        </w:rPr>
        <w:t xml:space="preserve">; </w:t>
      </w:r>
    </w:p>
    <w:p w:rsidR="000B77AC" w:rsidRDefault="00901C9D">
      <w:pPr>
        <w:pStyle w:val="Paragraphedeliste"/>
        <w:numPr>
          <w:ilvl w:val="0"/>
          <w:numId w:val="1"/>
        </w:numPr>
        <w:spacing w:line="240" w:lineRule="auto"/>
        <w:jc w:val="both"/>
        <w:rPr>
          <w:rFonts w:cstheme="minorHAnsi"/>
          <w:sz w:val="24"/>
          <w:szCs w:val="24"/>
        </w:rPr>
      </w:pPr>
      <w:r>
        <w:rPr>
          <w:rFonts w:cstheme="minorHAnsi"/>
          <w:sz w:val="24"/>
          <w:szCs w:val="24"/>
        </w:rPr>
        <w:t>L’environnement et ressources naturelles;</w:t>
      </w:r>
    </w:p>
    <w:p w:rsidR="000B77AC" w:rsidRDefault="00901C9D">
      <w:pPr>
        <w:pStyle w:val="Paragraphedeliste"/>
        <w:numPr>
          <w:ilvl w:val="0"/>
          <w:numId w:val="1"/>
        </w:numPr>
        <w:spacing w:line="240" w:lineRule="auto"/>
        <w:jc w:val="both"/>
        <w:rPr>
          <w:rFonts w:cstheme="minorHAnsi"/>
          <w:sz w:val="24"/>
          <w:szCs w:val="24"/>
        </w:rPr>
      </w:pPr>
      <w:r>
        <w:rPr>
          <w:rFonts w:cstheme="minorHAnsi"/>
          <w:sz w:val="24"/>
          <w:szCs w:val="24"/>
        </w:rPr>
        <w:t>Le plaidoyer</w:t>
      </w:r>
      <w:r>
        <w:rPr>
          <w:rFonts w:cstheme="minorHAnsi"/>
          <w:sz w:val="24"/>
          <w:szCs w:val="24"/>
        </w:rPr>
        <w:t>;</w:t>
      </w:r>
    </w:p>
    <w:p w:rsidR="000B77AC" w:rsidRDefault="00901C9D">
      <w:pPr>
        <w:pStyle w:val="Paragraphedeliste"/>
        <w:numPr>
          <w:ilvl w:val="0"/>
          <w:numId w:val="1"/>
        </w:numPr>
        <w:spacing w:line="240" w:lineRule="auto"/>
        <w:jc w:val="both"/>
        <w:rPr>
          <w:rFonts w:cstheme="minorHAnsi"/>
          <w:sz w:val="24"/>
          <w:szCs w:val="24"/>
        </w:rPr>
      </w:pPr>
      <w:r>
        <w:rPr>
          <w:rFonts w:cstheme="minorHAnsi"/>
          <w:sz w:val="24"/>
          <w:szCs w:val="24"/>
        </w:rPr>
        <w:t>L’éducation et la santé</w:t>
      </w:r>
    </w:p>
    <w:p w:rsidR="000B77AC" w:rsidRDefault="00901C9D">
      <w:pPr>
        <w:pStyle w:val="Paragraphedeliste"/>
        <w:numPr>
          <w:ilvl w:val="0"/>
          <w:numId w:val="1"/>
        </w:numPr>
        <w:spacing w:line="240" w:lineRule="auto"/>
        <w:jc w:val="both"/>
        <w:rPr>
          <w:rFonts w:cstheme="minorHAnsi"/>
          <w:sz w:val="24"/>
          <w:szCs w:val="24"/>
        </w:rPr>
      </w:pPr>
      <w:r>
        <w:rPr>
          <w:rFonts w:cstheme="minorHAnsi"/>
          <w:sz w:val="24"/>
          <w:szCs w:val="24"/>
        </w:rPr>
        <w:t>Le développement durable;</w:t>
      </w:r>
    </w:p>
    <w:p w:rsidR="000B77AC" w:rsidRDefault="00901C9D">
      <w:pPr>
        <w:pStyle w:val="Paragraphedeliste"/>
        <w:numPr>
          <w:ilvl w:val="0"/>
          <w:numId w:val="1"/>
        </w:numPr>
        <w:spacing w:line="240" w:lineRule="auto"/>
        <w:jc w:val="both"/>
        <w:rPr>
          <w:rFonts w:cstheme="minorHAnsi"/>
          <w:sz w:val="24"/>
          <w:szCs w:val="24"/>
        </w:rPr>
      </w:pPr>
      <w:r>
        <w:rPr>
          <w:rFonts w:cstheme="minorHAnsi"/>
          <w:sz w:val="24"/>
          <w:szCs w:val="24"/>
        </w:rPr>
        <w:t>L</w:t>
      </w:r>
      <w:r>
        <w:rPr>
          <w:rFonts w:cstheme="minorHAnsi"/>
          <w:sz w:val="24"/>
          <w:szCs w:val="24"/>
        </w:rPr>
        <w:t>utte contre les</w:t>
      </w:r>
      <w:r>
        <w:rPr>
          <w:rFonts w:cstheme="minorHAnsi"/>
          <w:sz w:val="24"/>
          <w:szCs w:val="24"/>
        </w:rPr>
        <w:t xml:space="preserve"> violences sexuelles</w:t>
      </w:r>
      <w:r>
        <w:rPr>
          <w:rFonts w:cstheme="minorHAnsi"/>
          <w:sz w:val="24"/>
          <w:szCs w:val="24"/>
        </w:rPr>
        <w:t xml:space="preserve"> à l’égard des femmes autochtones </w:t>
      </w:r>
      <w:proofErr w:type="spellStart"/>
      <w:r>
        <w:rPr>
          <w:rFonts w:cstheme="minorHAnsi"/>
          <w:sz w:val="24"/>
          <w:szCs w:val="24"/>
        </w:rPr>
        <w:t>Batwa</w:t>
      </w:r>
      <w:proofErr w:type="spellEnd"/>
      <w:r>
        <w:rPr>
          <w:rFonts w:cstheme="minorHAnsi"/>
          <w:sz w:val="24"/>
          <w:szCs w:val="24"/>
        </w:rPr>
        <w:t>;</w:t>
      </w:r>
    </w:p>
    <w:p w:rsidR="000B77AC" w:rsidRDefault="00901C9D">
      <w:pPr>
        <w:pStyle w:val="Paragraphedeliste"/>
        <w:numPr>
          <w:ilvl w:val="0"/>
          <w:numId w:val="1"/>
        </w:numPr>
        <w:spacing w:line="240" w:lineRule="auto"/>
        <w:jc w:val="both"/>
        <w:rPr>
          <w:rFonts w:cstheme="minorHAnsi"/>
          <w:sz w:val="24"/>
          <w:szCs w:val="24"/>
        </w:rPr>
      </w:pPr>
      <w:r>
        <w:rPr>
          <w:rFonts w:cstheme="minorHAnsi"/>
          <w:sz w:val="24"/>
          <w:szCs w:val="24"/>
        </w:rPr>
        <w:lastRenderedPageBreak/>
        <w:t>Genre et protection;</w:t>
      </w:r>
    </w:p>
    <w:p w:rsidR="000B77AC" w:rsidRDefault="00901C9D">
      <w:pPr>
        <w:pStyle w:val="Paragraphedeliste"/>
        <w:numPr>
          <w:ilvl w:val="0"/>
          <w:numId w:val="1"/>
        </w:numPr>
        <w:spacing w:line="240" w:lineRule="auto"/>
        <w:jc w:val="both"/>
        <w:rPr>
          <w:rFonts w:cstheme="minorHAnsi"/>
          <w:sz w:val="24"/>
          <w:szCs w:val="24"/>
        </w:rPr>
      </w:pPr>
      <w:r>
        <w:rPr>
          <w:rFonts w:cstheme="minorHAnsi"/>
          <w:sz w:val="24"/>
          <w:szCs w:val="24"/>
        </w:rPr>
        <w:t>Lutte contre l’impunité des crimes graves</w:t>
      </w:r>
      <w:r>
        <w:rPr>
          <w:rFonts w:cstheme="minorHAnsi"/>
          <w:sz w:val="24"/>
          <w:szCs w:val="24"/>
        </w:rPr>
        <w:t>;</w:t>
      </w:r>
      <w:bookmarkStart w:id="0" w:name="_GoBack"/>
      <w:bookmarkEnd w:id="0"/>
    </w:p>
    <w:sectPr w:rsidR="000B77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9D" w:rsidRDefault="00901C9D">
      <w:pPr>
        <w:spacing w:line="240" w:lineRule="auto"/>
      </w:pPr>
      <w:r>
        <w:separator/>
      </w:r>
    </w:p>
  </w:endnote>
  <w:endnote w:type="continuationSeparator" w:id="0">
    <w:p w:rsidR="00901C9D" w:rsidRDefault="00901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9D" w:rsidRDefault="00901C9D">
      <w:pPr>
        <w:spacing w:after="0"/>
      </w:pPr>
      <w:r>
        <w:separator/>
      </w:r>
    </w:p>
  </w:footnote>
  <w:footnote w:type="continuationSeparator" w:id="0">
    <w:p w:rsidR="00901C9D" w:rsidRDefault="00901C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30C4E"/>
    <w:multiLevelType w:val="singleLevel"/>
    <w:tmpl w:val="83030C4E"/>
    <w:lvl w:ilvl="0">
      <w:start w:val="1"/>
      <w:numFmt w:val="bullet"/>
      <w:lvlText w:val=""/>
      <w:lvlJc w:val="left"/>
      <w:pPr>
        <w:tabs>
          <w:tab w:val="left" w:pos="420"/>
        </w:tabs>
        <w:ind w:left="420" w:hanging="420"/>
      </w:pPr>
      <w:rPr>
        <w:rFonts w:ascii="Wingdings" w:hAnsi="Wingdings" w:hint="default"/>
      </w:rPr>
    </w:lvl>
  </w:abstractNum>
  <w:abstractNum w:abstractNumId="1">
    <w:nsid w:val="93CEDCD8"/>
    <w:multiLevelType w:val="singleLevel"/>
    <w:tmpl w:val="93CEDCD8"/>
    <w:lvl w:ilvl="0">
      <w:start w:val="1"/>
      <w:numFmt w:val="bullet"/>
      <w:lvlText w:val=""/>
      <w:lvlJc w:val="left"/>
      <w:pPr>
        <w:tabs>
          <w:tab w:val="left" w:pos="420"/>
        </w:tabs>
        <w:ind w:left="420" w:hanging="420"/>
      </w:pPr>
      <w:rPr>
        <w:rFonts w:ascii="Wingdings" w:hAnsi="Wingdings" w:hint="default"/>
      </w:rPr>
    </w:lvl>
  </w:abstractNum>
  <w:abstractNum w:abstractNumId="2">
    <w:nsid w:val="AF83F448"/>
    <w:multiLevelType w:val="singleLevel"/>
    <w:tmpl w:val="AF83F448"/>
    <w:lvl w:ilvl="0">
      <w:start w:val="1"/>
      <w:numFmt w:val="bullet"/>
      <w:lvlText w:val=""/>
      <w:lvlJc w:val="left"/>
      <w:pPr>
        <w:tabs>
          <w:tab w:val="left" w:pos="420"/>
        </w:tabs>
        <w:ind w:left="420" w:hanging="420"/>
      </w:pPr>
      <w:rPr>
        <w:rFonts w:ascii="Wingdings" w:hAnsi="Wingdings" w:hint="default"/>
      </w:rPr>
    </w:lvl>
  </w:abstractNum>
  <w:abstractNum w:abstractNumId="3">
    <w:nsid w:val="160F7A9C"/>
    <w:multiLevelType w:val="multilevel"/>
    <w:tmpl w:val="160F7A9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84"/>
    <w:rsid w:val="00005DBF"/>
    <w:rsid w:val="000B77AC"/>
    <w:rsid w:val="00103222"/>
    <w:rsid w:val="00212439"/>
    <w:rsid w:val="0026308A"/>
    <w:rsid w:val="002E7008"/>
    <w:rsid w:val="002F131B"/>
    <w:rsid w:val="003F5AB8"/>
    <w:rsid w:val="00467C2E"/>
    <w:rsid w:val="0056014E"/>
    <w:rsid w:val="005A15F4"/>
    <w:rsid w:val="005C671A"/>
    <w:rsid w:val="007409B4"/>
    <w:rsid w:val="008A124C"/>
    <w:rsid w:val="00901C9D"/>
    <w:rsid w:val="009F590C"/>
    <w:rsid w:val="00A279D1"/>
    <w:rsid w:val="00A35084"/>
    <w:rsid w:val="00AF76A1"/>
    <w:rsid w:val="00C47107"/>
    <w:rsid w:val="00D024C0"/>
    <w:rsid w:val="00E34AF3"/>
    <w:rsid w:val="00E60E6F"/>
    <w:rsid w:val="00F34FEA"/>
    <w:rsid w:val="12B42488"/>
    <w:rsid w:val="529569EF"/>
    <w:rsid w:val="576C35FB"/>
    <w:rsid w:val="6B225DD0"/>
    <w:rsid w:val="78682280"/>
    <w:rsid w:val="7EA9197F"/>
    <w:rsid w:val="7F6265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Titre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paragraph" w:styleId="Titre2">
    <w:name w:val="heading 2"/>
    <w:basedOn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Pr>
      <w:rFonts w:ascii="Times New Roman" w:eastAsia="Times New Roman" w:hAnsi="Times New Roman" w:cs="Times New Roman"/>
      <w:b/>
      <w:bCs/>
      <w:sz w:val="36"/>
      <w:szCs w:val="36"/>
      <w:lang w:eastAsia="fr-FR"/>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Sansinterligne">
    <w:name w:val="No Spacing"/>
    <w:link w:val="SansinterligneCar"/>
    <w:qFormat/>
    <w:rPr>
      <w:rFonts w:asciiTheme="minorHAnsi" w:eastAsiaTheme="minorHAnsi" w:hAnsiTheme="minorHAnsi" w:cstheme="minorBidi"/>
      <w:sz w:val="22"/>
      <w:szCs w:val="22"/>
      <w:lang w:eastAsia="en-US"/>
    </w:rPr>
  </w:style>
  <w:style w:type="character" w:customStyle="1" w:styleId="SansinterligneCar">
    <w:name w:val="Sans interligne Car"/>
    <w:basedOn w:val="Policepardfaut"/>
    <w:link w:val="Sansinterligne"/>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Titre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paragraph" w:styleId="Titre2">
    <w:name w:val="heading 2"/>
    <w:basedOn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Pr>
      <w:rFonts w:ascii="Times New Roman" w:eastAsia="Times New Roman" w:hAnsi="Times New Roman" w:cs="Times New Roman"/>
      <w:b/>
      <w:bCs/>
      <w:sz w:val="36"/>
      <w:szCs w:val="36"/>
      <w:lang w:eastAsia="fr-FR"/>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Sansinterligne">
    <w:name w:val="No Spacing"/>
    <w:link w:val="SansinterligneCar"/>
    <w:qFormat/>
    <w:rPr>
      <w:rFonts w:asciiTheme="minorHAnsi" w:eastAsiaTheme="minorHAnsi" w:hAnsiTheme="minorHAnsi" w:cstheme="minorBidi"/>
      <w:sz w:val="22"/>
      <w:szCs w:val="22"/>
      <w:lang w:eastAsia="en-US"/>
    </w:rPr>
  </w:style>
  <w:style w:type="character" w:customStyle="1" w:styleId="SansinterligneCar">
    <w:name w:val="Sans interligne Car"/>
    <w:basedOn w:val="Policepardfaut"/>
    <w:link w:val="Sansinterligne"/>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471</Words>
  <Characters>2594</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ch</cp:lastModifiedBy>
  <cp:revision>13</cp:revision>
  <dcterms:created xsi:type="dcterms:W3CDTF">2024-11-26T13:37:00Z</dcterms:created>
  <dcterms:modified xsi:type="dcterms:W3CDTF">2025-07-02T13:34:00Z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5EA976DD863844E9930C32E1725C2112_12</vt:lpwstr>
  </property>
</Properties>
</file>